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53621F">
        <w:rPr>
          <w:b/>
          <w:bCs/>
          <w:sz w:val="28"/>
          <w:szCs w:val="28"/>
          <w:bdr w:val="none" w:sz="0" w:space="0" w:color="auto" w:frame="1"/>
        </w:rPr>
        <w:t>Повторить материал от 13.04.</w:t>
      </w:r>
      <w:bookmarkStart w:id="0" w:name="_GoBack"/>
      <w:bookmarkEnd w:id="0"/>
      <w:r w:rsidR="0053621F">
        <w:rPr>
          <w:b/>
          <w:bCs/>
          <w:sz w:val="28"/>
          <w:szCs w:val="28"/>
          <w:bdr w:val="none" w:sz="0" w:space="0" w:color="auto" w:frame="1"/>
        </w:rPr>
        <w:t xml:space="preserve"> и подготовить макет для резного рельефа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833CF0" w:rsidRPr="00EB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53621F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DAF35-9A25-4343-9A99-9791F10C5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2020-04-03T18:37:00Z</dcterms:modified>
</cp:coreProperties>
</file>